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u w:val="single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u w:val="singl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</w:p>
    <w:tbl>
      <w:tblPr>
        <w:tblStyle w:val="Table1"/>
        <w:bidiVisual w:val="1"/>
        <w:tblW w:w="11057.0" w:type="dxa"/>
        <w:jc w:val="left"/>
        <w:tblInd w:w="-11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1"/>
        <w:gridCol w:w="1701"/>
        <w:gridCol w:w="2127"/>
        <w:gridCol w:w="2551"/>
        <w:gridCol w:w="2267"/>
        <w:tblGridChange w:id="0">
          <w:tblGrid>
            <w:gridCol w:w="2411"/>
            <w:gridCol w:w="1701"/>
            <w:gridCol w:w="2127"/>
            <w:gridCol w:w="2551"/>
            <w:gridCol w:w="2267"/>
          </w:tblGrid>
        </w:tblGridChange>
      </w:tblGrid>
      <w:tr>
        <w:trPr>
          <w:cantSplit w:val="0"/>
          <w:trHeight w:val="463" w:hRule="atLeast"/>
          <w:tblHeader w:val="1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קיום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הנפקת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האישור</w:t>
            </w:r>
          </w:p>
          <w:p w:rsidR="00000000" w:rsidDel="00000000" w:rsidP="00000000" w:rsidRDefault="00000000" w:rsidRPr="00000000" w14:paraId="00000007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______________________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באי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קיום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תבוא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הפסקה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הבאה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מהווה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אסמכתא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שלמבוטח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בתוקף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למידע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המידע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וחריגיה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סתירה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שמפורטים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הקבועים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יגבר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למעט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מיטיב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הראשי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גורמים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הקשורים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וייחשבו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המועמד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לביטוח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העסקה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והעיסוק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מעמד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bidi w:val="1"/>
              <w:spacing w:after="40" w:before="40"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bidi w:val="1"/>
              <w:spacing w:after="40" w:before="4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פלגי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bidi w:val="1"/>
              <w:spacing w:after="40" w:before="40"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5">
            <w:pPr>
              <w:bidi w:val="1"/>
              <w:spacing w:after="40" w:before="40"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spacing w:after="40" w:before="40"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7">
            <w:pPr>
              <w:bidi w:val="1"/>
              <w:spacing w:after="40" w:before="40"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bidi w:val="1"/>
              <w:spacing w:after="40" w:before="40" w:line="360" w:lineRule="auto"/>
              <w:ind w:left="50" w:right="78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אופי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העסקה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9">
            <w:pPr>
              <w:bidi w:val="1"/>
              <w:spacing w:after="40" w:before="40" w:line="360" w:lineRule="auto"/>
              <w:ind w:left="50" w:right="78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bidi w:val="1"/>
              <w:spacing w:after="40" w:before="40" w:line="360" w:lineRule="auto"/>
              <w:ind w:left="50" w:right="78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006/2025.</w:t>
            </w:r>
          </w:p>
          <w:p w:rsidR="00000000" w:rsidDel="00000000" w:rsidP="00000000" w:rsidRDefault="00000000" w:rsidRPr="00000000" w14:paraId="0000001B">
            <w:pPr>
              <w:bidi w:val="1"/>
              <w:spacing w:after="40" w:before="40" w:line="360" w:lineRule="auto"/>
              <w:ind w:left="50" w:right="78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ספק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bidi w:val="1"/>
              <w:spacing w:after="40" w:before="40" w:line="360" w:lineRule="auto"/>
              <w:ind w:left="50" w:right="78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העיסוק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bidi w:val="1"/>
              <w:spacing w:after="40" w:before="40" w:line="360" w:lineRule="auto"/>
              <w:ind w:left="40" w:right="78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אספקת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כימיקלים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ותחזוקת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מתקני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אחסון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ומינון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כימיקלים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לתהליכי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bidi w:val="1"/>
              <w:spacing w:after="40" w:before="40" w:line="360" w:lineRule="auto"/>
              <w:ind w:left="50" w:right="78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spacing w:after="40" w:before="40" w:line="360" w:lineRule="auto"/>
              <w:ind w:left="50" w:right="78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</w:p>
          <w:p w:rsidR="00000000" w:rsidDel="00000000" w:rsidP="00000000" w:rsidRDefault="00000000" w:rsidRPr="00000000" w14:paraId="00000020">
            <w:pPr>
              <w:bidi w:val="1"/>
              <w:spacing w:after="40" w:before="40" w:line="360" w:lineRule="auto"/>
              <w:ind w:left="50" w:right="78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חברה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מוניציפאלית</w:t>
            </w:r>
          </w:p>
          <w:p w:rsidR="00000000" w:rsidDel="00000000" w:rsidP="00000000" w:rsidRDefault="00000000" w:rsidRPr="00000000" w14:paraId="00000021">
            <w:pPr>
              <w:bidi w:val="1"/>
              <w:spacing w:after="40" w:before="40" w:line="360" w:lineRule="auto"/>
              <w:ind w:left="50" w:right="78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spacing w:after="40" w:before="40"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bidi w:val="1"/>
              <w:spacing w:after="40" w:before="4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51-455889-9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spacing w:after="40" w:before="40"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bidi w:val="1"/>
              <w:spacing w:after="40" w:before="4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51-438457-7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spacing w:after="40" w:before="40"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bidi w:val="1"/>
              <w:spacing w:after="40" w:before="4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bidi w:val="1"/>
              <w:spacing w:after="40" w:before="40"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מען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B">
            <w:pPr>
              <w:bidi w:val="1"/>
              <w:spacing w:after="40" w:before="4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bidi w:val="1"/>
              <w:spacing w:after="40" w:before="4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bidi w:val="1"/>
              <w:spacing w:after="40" w:before="4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הנגר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8,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bidi w:val="1"/>
              <w:spacing w:after="40" w:before="40"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מען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bidi w:val="1"/>
              <w:spacing w:after="40" w:before="4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bidi w:val="1"/>
              <w:spacing w:after="40" w:before="40"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ביחד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ולחוד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: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התאגידים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1049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49"/>
        <w:tblGridChange w:id="0">
          <w:tblGrid>
            <w:gridCol w:w="11049"/>
          </w:tblGrid>
        </w:tblGridChange>
      </w:tblGrid>
      <w:tr>
        <w:trPr>
          <w:cantSplit w:val="0"/>
          <w:trHeight w:val="26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כיסויים</w:t>
            </w:r>
          </w:p>
        </w:tc>
      </w:tr>
    </w:tbl>
    <w:p w:rsidR="00000000" w:rsidDel="00000000" w:rsidP="00000000" w:rsidRDefault="00000000" w:rsidRPr="00000000" w14:paraId="00000039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1055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7"/>
        <w:gridCol w:w="1247"/>
        <w:gridCol w:w="1191"/>
        <w:gridCol w:w="1134"/>
        <w:gridCol w:w="1020"/>
        <w:gridCol w:w="964"/>
        <w:gridCol w:w="964"/>
        <w:gridCol w:w="567"/>
        <w:gridCol w:w="2381"/>
        <w:tblGridChange w:id="0">
          <w:tblGrid>
            <w:gridCol w:w="1587"/>
            <w:gridCol w:w="1247"/>
            <w:gridCol w:w="1191"/>
            <w:gridCol w:w="1134"/>
            <w:gridCol w:w="1020"/>
            <w:gridCol w:w="964"/>
            <w:gridCol w:w="964"/>
            <w:gridCol w:w="567"/>
            <w:gridCol w:w="2381"/>
          </w:tblGrid>
        </w:tblGridChange>
      </w:tblGrid>
      <w:tr>
        <w:trPr>
          <w:cantSplit w:val="0"/>
          <w:trHeight w:val="268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הביטוח</w:t>
            </w:r>
          </w:p>
          <w:p w:rsidR="00000000" w:rsidDel="00000000" w:rsidP="00000000" w:rsidRDefault="00000000" w:rsidRPr="00000000" w14:paraId="0000003B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חלוקה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סכומי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***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ומהדורת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***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תחילה</w:t>
            </w:r>
          </w:p>
          <w:p w:rsidR="00000000" w:rsidDel="00000000" w:rsidP="00000000" w:rsidRDefault="00000000" w:rsidRPr="00000000" w14:paraId="0000003F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להזין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רטרואקטיבי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סיום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גבול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לכלל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פעילות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סכום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מטבע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כיסויים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בתוקף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חריגים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****</w:t>
            </w:r>
          </w:p>
        </w:tc>
      </w:tr>
      <w:tr>
        <w:trPr>
          <w:cantSplit w:val="0"/>
          <w:trHeight w:val="268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לתקופה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1077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3"/>
        <w:gridCol w:w="1214"/>
        <w:gridCol w:w="1214"/>
        <w:gridCol w:w="1108"/>
        <w:gridCol w:w="1073"/>
        <w:gridCol w:w="1025"/>
        <w:gridCol w:w="1025"/>
        <w:gridCol w:w="545"/>
        <w:gridCol w:w="2320"/>
        <w:tblGridChange w:id="0">
          <w:tblGrid>
            <w:gridCol w:w="1553"/>
            <w:gridCol w:w="1214"/>
            <w:gridCol w:w="1214"/>
            <w:gridCol w:w="1108"/>
            <w:gridCol w:w="1073"/>
            <w:gridCol w:w="1025"/>
            <w:gridCol w:w="1025"/>
            <w:gridCol w:w="545"/>
            <w:gridCol w:w="2320"/>
          </w:tblGrid>
        </w:tblGridChange>
      </w:tblGrid>
      <w:tr>
        <w:trPr>
          <w:cantSplit w:val="0"/>
          <w:trHeight w:val="16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צד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₪.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bidi w:val="1"/>
              <w:spacing w:line="360" w:lineRule="auto"/>
              <w:ind w:right="79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צולבת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0">
            <w:pPr>
              <w:bidi w:val="1"/>
              <w:spacing w:line="360" w:lineRule="auto"/>
              <w:ind w:right="79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הרחב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שיפוי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1">
            <w:pPr>
              <w:bidi w:val="1"/>
              <w:spacing w:line="360" w:lineRule="auto"/>
              <w:ind w:right="79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307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הרחבת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bidi w:val="1"/>
              <w:spacing w:line="360" w:lineRule="auto"/>
              <w:ind w:right="79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הכיסוי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המכוסה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בפוליסה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וקבלני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spacing w:line="360" w:lineRule="auto"/>
              <w:ind w:right="79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ויתור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תחלוף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לטובת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4">
            <w:pPr>
              <w:bidi w:val="1"/>
              <w:spacing w:line="360" w:lineRule="auto"/>
              <w:ind w:right="79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315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כיסוי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לתביעות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5">
            <w:pPr>
              <w:bidi w:val="1"/>
              <w:spacing w:line="360" w:lineRule="auto"/>
              <w:ind w:right="79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מחדלי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6">
            <w:pPr>
              <w:bidi w:val="1"/>
              <w:spacing w:line="360" w:lineRule="auto"/>
              <w:ind w:right="79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322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מוגדר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כצד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בפרק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7">
            <w:pPr>
              <w:bidi w:val="1"/>
              <w:spacing w:line="360" w:lineRule="auto"/>
              <w:ind w:right="79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ראשוניות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מעבידים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20,000,000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6,000,000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₪.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bidi w:val="1"/>
              <w:spacing w:line="360" w:lineRule="auto"/>
              <w:ind w:right="79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ויתור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תחלוף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לטובת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9">
            <w:pPr>
              <w:bidi w:val="1"/>
              <w:spacing w:line="360" w:lineRule="auto"/>
              <w:ind w:right="79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319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וייחשב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כמעבידם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מעובדי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A">
            <w:pPr>
              <w:bidi w:val="1"/>
              <w:spacing w:line="360" w:lineRule="auto"/>
              <w:ind w:right="79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ראשוניות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מקצועית</w:t>
            </w:r>
          </w:p>
          <w:p w:rsidR="00000000" w:rsidDel="00000000" w:rsidP="00000000" w:rsidRDefault="00000000" w:rsidRPr="00000000" w14:paraId="0000007D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רטרואקטיבי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081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  <w:p w:rsidR="00000000" w:rsidDel="00000000" w:rsidP="00000000" w:rsidRDefault="00000000" w:rsidRPr="00000000" w14:paraId="00000087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₪.</w:t>
            </w:r>
          </w:p>
          <w:p w:rsidR="00000000" w:rsidDel="00000000" w:rsidP="00000000" w:rsidRDefault="00000000" w:rsidRPr="00000000" w14:paraId="00000091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2">
            <w:pPr>
              <w:bidi w:val="1"/>
              <w:spacing w:line="360" w:lineRule="auto"/>
              <w:ind w:right="79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אובדן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מסמכים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3">
            <w:pPr>
              <w:bidi w:val="1"/>
              <w:spacing w:line="360" w:lineRule="auto"/>
              <w:ind w:right="79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ויתור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תחלוף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לטובת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4">
            <w:pPr>
              <w:bidi w:val="1"/>
              <w:spacing w:line="360" w:lineRule="auto"/>
              <w:ind w:right="79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מחדלי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5">
            <w:pPr>
              <w:bidi w:val="1"/>
              <w:spacing w:line="360" w:lineRule="auto"/>
              <w:ind w:right="79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מרמה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6">
            <w:pPr>
              <w:bidi w:val="1"/>
              <w:spacing w:line="360" w:lineRule="auto"/>
              <w:ind w:right="79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ראשוניות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7">
            <w:pPr>
              <w:bidi w:val="1"/>
              <w:spacing w:line="360" w:lineRule="auto"/>
              <w:ind w:right="79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332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גילוי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(6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חודשים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1064.0" w:type="dxa"/>
        <w:jc w:val="left"/>
        <w:tblInd w:w="-11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64"/>
        <w:tblGridChange w:id="0">
          <w:tblGrid>
            <w:gridCol w:w="11064"/>
          </w:tblGrid>
        </w:tblGridChange>
      </w:tblGrid>
      <w:tr>
        <w:trPr>
          <w:cantSplit w:val="0"/>
          <w:trHeight w:val="5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bidi w:val="1"/>
              <w:spacing w:line="360" w:lineRule="auto"/>
              <w:ind w:left="51" w:right="79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פירוט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בכפוף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המפורטים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בהסכם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לציין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מתוך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הרשימה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הסגורה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המפורטת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שמפורסם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וחסכון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להציג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בנוסף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המוצג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ברשימה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הסגורה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)*: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bidi w:val="1"/>
              <w:spacing w:line="360" w:lineRule="auto"/>
              <w:ind w:right="79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((033)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כימיקלים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(088)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תחזוקה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ותפעול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(097)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bidi w:val="1"/>
              <w:spacing w:line="360" w:lineRule="auto"/>
              <w:ind w:left="50" w:right="78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*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לרעת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פוליסת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ייכנס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לתוקף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30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משלוח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הודעה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בדבר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השינוי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bidi w:val="1"/>
              <w:spacing w:line="360" w:lineRule="auto"/>
              <w:ind w:left="50" w:right="78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bidi w:val="1"/>
              <w:spacing w:line="360" w:lineRule="auto"/>
              <w:ind w:left="50" w:right="78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bidi w:val="1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9" w:w="11907" w:orient="portrait"/>
      <w:pgMar w:bottom="1418" w:top="1418" w:left="1418" w:right="1418" w:header="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32"/>
        <w:szCs w:val="32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"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מ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  <w:spacing w:line="36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60" w:before="0" w:line="259" w:lineRule="auto"/>
      <w:ind w:left="0" w:right="0" w:firstLine="0"/>
      <w:jc w:val="righ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023D5"/>
    <w:pPr>
      <w:widowControl w:val="0"/>
      <w:spacing w:line="360" w:lineRule="auto"/>
      <w:jc w:val="center"/>
    </w:pPr>
    <w:rPr>
      <w:rFonts w:ascii="Courier New" w:cs="David" w:eastAsia="Courier New" w:hAnsi="Courier New"/>
      <w:color w:val="000000"/>
      <w:sz w:val="24"/>
      <w:szCs w:val="24"/>
      <w:lang w:bidi="he-IL"/>
    </w:rPr>
  </w:style>
  <w:style w:type="paragraph" w:styleId="2">
    <w:name w:val="heading 2"/>
    <w:aliases w:val="סגנון 3,כותרת 2 תו1 תו,כותרת 2 תו תו תו,כותרת 2 תו תו תו תו תו תו תו תו תו תו תו תו תו תו תו תו תו תו תו תו תו תו תו תו תו תו,a תו תו תו תו תו תו תו תו תו תו תו תו תו תו תו תו תו תו תו תו תו תו תו תו תו תו,a תו תו,Para2 תו תו,Para21 תו תו,h2,h21"/>
    <w:next w:val="a"/>
    <w:link w:val="20"/>
    <w:qFormat w:val="1"/>
    <w:rsid w:val="002023D5"/>
    <w:pPr>
      <w:bidi w:val="1"/>
      <w:spacing w:after="160" w:line="259" w:lineRule="auto"/>
      <w:jc w:val="right"/>
      <w:outlineLvl w:val="1"/>
    </w:pPr>
    <w:rPr>
      <w:rFonts w:ascii="Times New Roman" w:cs="David" w:hAnsi="Times New Roman"/>
      <w:b w:val="1"/>
      <w:bCs w:val="1"/>
      <w:sz w:val="32"/>
      <w:szCs w:val="24"/>
      <w:lang w:bidi="he-IL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כותרת 2 תו"/>
    <w:aliases w:val="סגנון 3 תו,כותרת 2 תו1 תו תו,כותרת 2 תו תו תו תו,כותרת 2 תו תו תו תו תו תו תו תו תו תו תו תו תו תו תו תו תו תו תו תו תו תו תו תו תו תו תו,a תו תו תו תו תו תו תו תו תו תו תו תו תו תו תו תו תו תו תו תו תו תו תו תו תו תו תו,a תו תו תו,h2 תו"/>
    <w:link w:val="2"/>
    <w:rsid w:val="002023D5"/>
    <w:rPr>
      <w:rFonts w:ascii="Times New Roman" w:cs="David" w:eastAsia="Calibri" w:hAnsi="Times New Roman"/>
      <w:b w:val="1"/>
      <w:bCs w:val="1"/>
      <w:sz w:val="32"/>
      <w:szCs w:val="24"/>
    </w:rPr>
  </w:style>
  <w:style w:type="paragraph" w:styleId="a3">
    <w:name w:val="header"/>
    <w:aliases w:val="הנדון,הנדון1,הנדון2,הנדון3,הנדון4,הנדון5,הנדון6,הנדון7,הנדון8,הנדון9,הנדון11,הנדון21,הנדון31,הנדון41,הנדון51,הנדון61,הנדון71,הנדון81,הנדון10,הנדון12,הנדון22,הנדון32,הנדון42,הנדון52,הנדון62,הנדון72,הנדון82,הנדון13,הנדון23,הנדון33,הנדון43,ind"/>
    <w:basedOn w:val="a"/>
    <w:link w:val="a4"/>
    <w:unhideWhenUsed w:val="1"/>
    <w:rsid w:val="002023D5"/>
    <w:pPr>
      <w:tabs>
        <w:tab w:val="center" w:pos="4153"/>
        <w:tab w:val="right" w:pos="8306"/>
      </w:tabs>
    </w:pPr>
  </w:style>
  <w:style w:type="character" w:styleId="a4" w:customStyle="1">
    <w:name w:val="כותרת עליונה תו"/>
    <w:aliases w:val="הנדון תו,הנדון1 תו,הנדון2 תו,הנדון3 תו,הנדון4 תו,הנדון5 תו,הנדון6 תו,הנדון7 תו,הנדון8 תו,הנדון9 תו,הנדון11 תו,הנדון21 תו,הנדון31 תו,הנדון41 תו,הנדון51 תו,הנדון61 תו,הנדון71 תו,הנדון81 תו,הנדון10 תו,הנדון12 תו,הנדון22 תו,הנדון32 תו,ind תו"/>
    <w:link w:val="a3"/>
    <w:rsid w:val="002023D5"/>
    <w:rPr>
      <w:rFonts w:ascii="Courier New" w:cs="David" w:eastAsia="Courier New" w:hAnsi="Courier New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 w:val="1"/>
    <w:rsid w:val="00BE41B8"/>
    <w:pPr>
      <w:tabs>
        <w:tab w:val="center" w:pos="4320"/>
        <w:tab w:val="right" w:pos="8640"/>
      </w:tabs>
    </w:pPr>
  </w:style>
  <w:style w:type="character" w:styleId="a6" w:customStyle="1">
    <w:name w:val="כותרת תחתונה תו"/>
    <w:link w:val="a5"/>
    <w:uiPriority w:val="99"/>
    <w:rsid w:val="00BE41B8"/>
    <w:rPr>
      <w:rFonts w:ascii="Courier New" w:cs="David" w:eastAsia="Courier New" w:hAnsi="Courier New"/>
      <w:color w:val="000000"/>
      <w:sz w:val="24"/>
      <w:szCs w:val="24"/>
      <w:lang w:bidi="he-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QeQHwMjtl78w5Dl+rak0y0UJhg==">CgMxLjAyCGguZ2pkZ3hzOAByITFMaWUtR20zY1FZeFRZUXpEZFN4X0ZnYnA5Qkw4cmhyNA==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2025-03-02T10:10:00Z</dcterms:created>
  <dc:creator>אייקי שוורץ</dc:creator>
</cp:coreProperties>
</file>