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2024</w:t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</w:p>
    <w:p w:rsidR="00000000" w:rsidDel="00000000" w:rsidP="00000000" w:rsidRDefault="00000000" w:rsidRPr="00000000" w14:paraId="00000004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87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06">
      <w:pPr>
        <w:bidi w:val="1"/>
        <w:spacing w:line="360" w:lineRule="auto"/>
        <w:ind w:left="72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87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</w:p>
    <w:p w:rsidR="00000000" w:rsidDel="00000000" w:rsidP="00000000" w:rsidRDefault="00000000" w:rsidRPr="00000000" w14:paraId="00000008">
      <w:pPr>
        <w:tabs>
          <w:tab w:val="left" w:leader="none" w:pos="587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87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תושבים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00A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2420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הממשלתית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238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מרוכזות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שהוכנה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הבקטריולוגיות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הכימיות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ושיפורים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הולכת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במעבדת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ומוסמכת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וראויה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הרגולטוריות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המחמירות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F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876"/>
        </w:tabs>
        <w:bidi w:val="1"/>
        <w:spacing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שטרנברג</w:t>
      </w:r>
    </w:p>
    <w:p w:rsidR="00000000" w:rsidDel="00000000" w:rsidP="00000000" w:rsidRDefault="00000000" w:rsidRPr="00000000" w14:paraId="00000011">
      <w:pPr>
        <w:tabs>
          <w:tab w:val="left" w:leader="none" w:pos="5876"/>
        </w:tabs>
        <w:bidi w:val="1"/>
        <w:spacing w:line="3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דירקטוריון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</w:p>
    <w:p w:rsidR="00000000" w:rsidDel="00000000" w:rsidP="00000000" w:rsidRDefault="00000000" w:rsidRPr="00000000" w14:paraId="00000012">
      <w:pPr>
        <w:tabs>
          <w:tab w:val="left" w:leader="none" w:pos="587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87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87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72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fo2v77fsfg5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רקע</w:t>
            </w:r>
          </w:hyperlink>
          <w:hyperlink w:anchor="_heading=h.fo2v77fsfg5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fo2v77fsfg5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כללי</w:t>
            </w:r>
          </w:hyperlink>
          <w:hyperlink w:anchor="_heading=h.fo2v77fsfg5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72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6em7gkfv1jd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הסבר</w:t>
            </w:r>
          </w:hyperlink>
          <w:hyperlink w:anchor="_heading=h.6em7gkfv1jd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6em7gkfv1jd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על</w:t>
            </w:r>
          </w:hyperlink>
          <w:hyperlink w:anchor="_heading=h.6em7gkfv1jd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6em7gkfv1jd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הליך</w:t>
            </w:r>
          </w:hyperlink>
          <w:hyperlink w:anchor="_heading=h.6em7gkfv1jd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6em7gkfv1jd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הדיגום</w:t>
            </w:r>
          </w:hyperlink>
          <w:hyperlink w:anchor="_heading=h.6em7gkfv1jdd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94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2f12pg6fdjl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מהי</w:t>
            </w:r>
          </w:hyperlink>
          <w:hyperlink w:anchor="_heading=h.2f12pg6fdjl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2f12pg6fdjl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תוכנית</w:t>
            </w:r>
          </w:hyperlink>
          <w:hyperlink w:anchor="_heading=h.2f12pg6fdjl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2f12pg6fdjl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הדיגום</w:t>
            </w:r>
          </w:hyperlink>
          <w:hyperlink w:anchor="_heading=h.2f12pg6fdjll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?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94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s742i4r1gjo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מהי</w:t>
            </w:r>
          </w:hyperlink>
          <w:hyperlink w:anchor="_heading=h.s742i4r1gjo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742i4r1gjo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נקודת</w:t>
            </w:r>
          </w:hyperlink>
          <w:hyperlink w:anchor="_heading=h.s742i4r1gjo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742i4r1gjo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הדיגום</w:t>
            </w:r>
          </w:hyperlink>
          <w:hyperlink w:anchor="_heading=h.s742i4r1gjo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?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94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4owtzsvb6zl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מה</w:t>
            </w:r>
          </w:hyperlink>
          <w:hyperlink w:anchor="_heading=h.4owtzsvb6zl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4owtzsvb6zl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כוללות</w:t>
            </w:r>
          </w:hyperlink>
          <w:hyperlink w:anchor="_heading=h.4owtzsvb6zl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4owtzsvb6zl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הבדיקות</w:t>
            </w:r>
          </w:hyperlink>
          <w:hyperlink w:anchor="_heading=h.4owtzsvb6zl4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?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94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ihujjkd7jndm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כיצד</w:t>
            </w:r>
          </w:hyperlink>
          <w:hyperlink w:anchor="_heading=h.ihujjkd7jndm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ihujjkd7jndm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מבוצע</w:t>
            </w:r>
          </w:hyperlink>
          <w:hyperlink w:anchor="_heading=h.ihujjkd7jndm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ihujjkd7jndm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הדיגום</w:t>
            </w:r>
          </w:hyperlink>
          <w:hyperlink w:anchor="_heading=h.ihujjkd7jndm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?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94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3oynzg2ra4ln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דיגומים</w:t>
            </w:r>
          </w:hyperlink>
          <w:hyperlink w:anchor="_heading=h.3oynzg2ra4ln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3oynzg2ra4ln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נוספים</w:t>
            </w:r>
          </w:hyperlink>
          <w:hyperlink w:anchor="_heading=h.3oynzg2ra4ln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72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88s4ijahe019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חשיבות</w:t>
            </w:r>
          </w:hyperlink>
          <w:hyperlink w:anchor="_heading=h.88s4ijahe019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88s4ijahe019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ביצוע</w:t>
            </w:r>
          </w:hyperlink>
          <w:hyperlink w:anchor="_heading=h.88s4ijahe019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88s4ijahe019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הבדיקות</w:t>
            </w:r>
          </w:hyperlink>
          <w:hyperlink w:anchor="_heading=h.88s4ijahe019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94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94hlm93qb502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</w:hyperlink>
          <w:hyperlink w:anchor="_heading=h.94hlm93qb502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94hlm93qb502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בקטריולוגיה</w:t>
            </w:r>
          </w:hyperlink>
          <w:hyperlink w:anchor="_heading=h.94hlm93qb502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94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342nbdnrb2nr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בדיקה</w:t>
            </w:r>
          </w:hyperlink>
          <w:hyperlink w:anchor="_heading=h.342nbdnrb2nr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342nbdnrb2nr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כימית</w:t>
            </w:r>
          </w:hyperlink>
          <w:hyperlink w:anchor="_heading=h.342nbdnrb2nr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342nbdnrb2nr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של</w:t>
            </w:r>
          </w:hyperlink>
          <w:hyperlink w:anchor="_heading=h.342nbdnrb2nr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 </w:t>
            </w:r>
          </w:hyperlink>
          <w:hyperlink w:anchor="_heading=h.342nbdnrb2nr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המים</w:t>
            </w:r>
          </w:hyperlink>
          <w:hyperlink w:anchor="_heading=h.342nbdnrb2nr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72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ihdtbxn4pij1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שינויים</w:t>
            </w:r>
          </w:hyperlink>
          <w:hyperlink w:anchor="_heading=h.ihdtbxn4pij1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ihdtbxn4pij1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ועדכונים</w:t>
            </w:r>
          </w:hyperlink>
          <w:hyperlink w:anchor="_heading=h.ihdtbxn4pij1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dot" w:pos="8296"/>
            </w:tabs>
            <w:bidi w:val="1"/>
            <w:spacing w:after="100" w:before="0" w:line="360" w:lineRule="auto"/>
            <w:ind w:left="720" w:right="0" w:firstLine="0"/>
            <w:rPr>
              <w:rFonts w:ascii="Arial" w:cs="Arial" w:eastAsia="Arial" w:hAnsi="Arial"/>
              <w:i w:val="0"/>
              <w:smallCaps w:val="0"/>
              <w:strike w:val="0"/>
              <w:sz w:val="32"/>
              <w:szCs w:val="32"/>
              <w:u w:val="none"/>
              <w:vertAlign w:val="baseline"/>
            </w:rPr>
          </w:pPr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סיכום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תוצאות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בדיקות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איכות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המים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בישוב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כוכב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יאיר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–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צור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יגאל</w:t>
            </w:r>
          </w:hyperlink>
          <w:hyperlink w:anchor="_heading=h.smomjnc87o1u"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: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bidi w:val="1"/>
            <w:spacing w:line="360" w:lineRule="auto"/>
            <w:ind w:left="720" w:firstLine="0"/>
            <w:jc w:val="right"/>
            <w:rPr>
              <w:rFonts w:ascii="Arial" w:cs="Arial" w:eastAsia="Arial" w:hAnsi="Arial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2">
      <w:pPr>
        <w:bidi w:val="1"/>
        <w:spacing w:line="360" w:lineRule="auto"/>
        <w:ind w:left="720" w:firstLine="0"/>
        <w:jc w:val="righ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bidi w:val="1"/>
        <w:spacing w:line="360" w:lineRule="auto"/>
        <w:ind w:left="720" w:firstLine="0"/>
        <w:rPr>
          <w:rFonts w:ascii="Arial" w:cs="Arial" w:eastAsia="Arial" w:hAnsi="Arial"/>
          <w:color w:val="000000"/>
        </w:rPr>
      </w:pPr>
      <w:bookmarkStart w:colFirst="0" w:colLast="0" w:name="_heading=h.fo2v77fsfg5l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כללי</w:t>
      </w:r>
    </w:p>
    <w:p w:rsidR="00000000" w:rsidDel="00000000" w:rsidP="00000000" w:rsidRDefault="00000000" w:rsidRPr="00000000" w14:paraId="00000024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bookmarkStart w:colFirst="0" w:colLast="0" w:name="_heading=h.wq43ba8krmpo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למדיניות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בכניסה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והגדלה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הנפתרת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לחצי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</w:p>
    <w:p w:rsidR="00000000" w:rsidDel="00000000" w:rsidP="00000000" w:rsidRDefault="00000000" w:rsidRPr="00000000" w14:paraId="00000025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וראויה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leader="none" w:pos="5876"/>
        </w:tabs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bidi w:val="1"/>
        <w:spacing w:line="360" w:lineRule="auto"/>
        <w:ind w:left="720" w:firstLine="0"/>
        <w:rPr>
          <w:rFonts w:ascii="Arial" w:cs="Arial" w:eastAsia="Arial" w:hAnsi="Arial"/>
          <w:color w:val="000000"/>
        </w:rPr>
      </w:pPr>
      <w:bookmarkStart w:colFirst="0" w:colLast="0" w:name="_heading=h.6em7gkfv1jdd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הדיגום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0" w:line="360" w:lineRule="auto"/>
        <w:ind w:left="12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12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bidi w:val="1"/>
        <w:spacing w:line="360" w:lineRule="auto"/>
        <w:ind w:left="720" w:firstLine="0"/>
        <w:rPr>
          <w:rFonts w:ascii="Arial" w:cs="Arial" w:eastAsia="Arial" w:hAnsi="Arial"/>
          <w:color w:val="000000"/>
          <w:sz w:val="32"/>
          <w:szCs w:val="32"/>
        </w:rPr>
      </w:pPr>
      <w:bookmarkStart w:colFirst="0" w:colLast="0" w:name="_heading=h.2f12pg6fdjll" w:id="3"/>
      <w:bookmarkEnd w:id="3"/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מהי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12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קלנדרית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מפרסם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ומועדן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bidi w:val="1"/>
        <w:spacing w:line="360" w:lineRule="auto"/>
        <w:ind w:left="720" w:firstLine="0"/>
        <w:rPr>
          <w:rFonts w:ascii="Arial" w:cs="Arial" w:eastAsia="Arial" w:hAnsi="Arial"/>
          <w:color w:val="000000"/>
          <w:sz w:val="32"/>
          <w:szCs w:val="32"/>
        </w:rPr>
      </w:pPr>
      <w:bookmarkStart w:colFirst="0" w:colLast="0" w:name="_heading=h.s742i4r1gjo4" w:id="4"/>
      <w:bookmarkEnd w:id="4"/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מהי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נקודת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12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הוגדרו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מפוזרות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ילדים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בחיבורי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הוגדרו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דגימה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נדגמת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bidi w:val="1"/>
        <w:spacing w:line="360" w:lineRule="auto"/>
        <w:ind w:left="720" w:firstLine="0"/>
        <w:rPr>
          <w:rFonts w:ascii="Arial" w:cs="Arial" w:eastAsia="Arial" w:hAnsi="Arial"/>
          <w:color w:val="000000"/>
          <w:sz w:val="32"/>
          <w:szCs w:val="32"/>
        </w:rPr>
      </w:pPr>
      <w:bookmarkStart w:colFirst="0" w:colLast="0" w:name="_heading=h.4owtzsvb6zl4" w:id="5"/>
      <w:bookmarkEnd w:id="5"/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120" w:before="12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נדגמות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בשבועיים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ודוגם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ובשבועיים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בקטריולוגיה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ועכירות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מוגדרות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ומתבצעות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בתדירות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bidi w:val="1"/>
        <w:spacing w:line="360" w:lineRule="auto"/>
        <w:ind w:left="720" w:firstLine="0"/>
        <w:jc w:val="righ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</w:p>
    <w:tbl>
      <w:tblPr>
        <w:tblStyle w:val="Table1"/>
        <w:bidiVisual w:val="1"/>
        <w:tblW w:w="9660.0" w:type="dxa"/>
        <w:jc w:val="left"/>
        <w:tblInd w:w="-5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125"/>
        <w:gridCol w:w="1770"/>
        <w:gridCol w:w="2250"/>
        <w:gridCol w:w="2415"/>
        <w:gridCol w:w="2100"/>
        <w:tblGridChange w:id="0">
          <w:tblGrid>
            <w:gridCol w:w="1125"/>
            <w:gridCol w:w="1770"/>
            <w:gridCol w:w="2250"/>
            <w:gridCol w:w="2415"/>
            <w:gridCol w:w="210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line="360" w:lineRule="auto"/>
              <w:ind w:left="48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הישוב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הדגימה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הנקודה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הנקודה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יאיר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ילדים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12259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12257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יאיר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12258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12256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יאיר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ממקור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מקורות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12260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מצפה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ספיר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12000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אשכול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11996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נעמת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12019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שורק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אספקה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11999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אייל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ממקור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פרטי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12017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bidi w:val="1"/>
              <w:spacing w:line="360" w:lineRule="auto"/>
              <w:ind w:left="48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כניסה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ממקור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מקורות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86931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2"/>
        <w:bidi w:val="1"/>
        <w:spacing w:line="360" w:lineRule="auto"/>
        <w:ind w:left="720" w:firstLine="0"/>
        <w:rPr>
          <w:rFonts w:ascii="Arial" w:cs="Arial" w:eastAsia="Arial" w:hAnsi="Arial"/>
          <w:color w:val="000000"/>
          <w:sz w:val="32"/>
          <w:szCs w:val="32"/>
        </w:rPr>
      </w:pPr>
      <w:bookmarkStart w:colFirst="0" w:colLast="0" w:name="_heading=h.ihujjkd7jndm" w:id="6"/>
      <w:bookmarkEnd w:id="6"/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מבוצע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?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12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שהוכשר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בקורס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דוגמים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המגדירות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bidi w:val="1"/>
        <w:spacing w:line="360" w:lineRule="auto"/>
        <w:ind w:left="720" w:firstLine="0"/>
        <w:rPr>
          <w:rFonts w:ascii="Arial" w:cs="Arial" w:eastAsia="Arial" w:hAnsi="Arial"/>
          <w:color w:val="000000"/>
          <w:sz w:val="32"/>
          <w:szCs w:val="32"/>
        </w:rPr>
      </w:pPr>
      <w:bookmarkStart w:colFirst="0" w:colLast="0" w:name="_heading=h.3oynzg2ra4ln" w:id="7"/>
      <w:bookmarkEnd w:id="7"/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דיגומים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נוספים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12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מטופל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עכירות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וקיבוץ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מתואמות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bidi w:val="1"/>
        <w:spacing w:line="360" w:lineRule="auto"/>
        <w:ind w:left="720" w:firstLine="0"/>
        <w:rPr>
          <w:rFonts w:ascii="Arial" w:cs="Arial" w:eastAsia="Arial" w:hAnsi="Arial"/>
          <w:color w:val="000000"/>
        </w:rPr>
      </w:pPr>
      <w:bookmarkStart w:colFirst="0" w:colLast="0" w:name="_heading=h.88s4ijahe019" w:id="8"/>
      <w:bookmarkEnd w:id="8"/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הבדיקות</w:t>
      </w:r>
    </w:p>
    <w:p w:rsidR="00000000" w:rsidDel="00000000" w:rsidP="00000000" w:rsidRDefault="00000000" w:rsidRPr="00000000" w14:paraId="00000078">
      <w:pPr>
        <w:pStyle w:val="Heading2"/>
        <w:bidi w:val="1"/>
        <w:spacing w:line="360" w:lineRule="auto"/>
        <w:ind w:left="720" w:firstLine="0"/>
        <w:rPr>
          <w:rFonts w:ascii="Arial" w:cs="Arial" w:eastAsia="Arial" w:hAnsi="Arial"/>
          <w:color w:val="000000"/>
          <w:sz w:val="32"/>
          <w:szCs w:val="32"/>
        </w:rPr>
      </w:pPr>
      <w:bookmarkStart w:colFirst="0" w:colLast="0" w:name="_heading=h.94hlm93qb502" w:id="9"/>
      <w:bookmarkEnd w:id="9"/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בקטריולוגיה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12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בקטריאלית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הימצאותם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זיהום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לתחלואה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בקטריולוגית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אנליזה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חיידקים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אינדיקטורים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הימצאותם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אינדיקציה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לזיהום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מיקרוביולוגיה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תמצא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נוכחות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אינדיקטורים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הבקטריולוגי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מדוקדקת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סטריליים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הדוגמה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למעבדה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בקטריולוגיה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bidi w:val="1"/>
        <w:spacing w:line="360" w:lineRule="auto"/>
        <w:ind w:left="720" w:firstLine="0"/>
        <w:rPr>
          <w:rFonts w:ascii="Arial" w:cs="Arial" w:eastAsia="Arial" w:hAnsi="Arial"/>
          <w:color w:val="000000"/>
          <w:sz w:val="32"/>
          <w:szCs w:val="32"/>
        </w:rPr>
      </w:pPr>
      <w:bookmarkStart w:colFirst="0" w:colLast="0" w:name="_heading=h.342nbdnrb2nr" w:id="10"/>
      <w:bookmarkEnd w:id="10"/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כימית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1"/>
        </w:rPr>
        <w:t xml:space="preserve">המים</w:t>
      </w:r>
    </w:p>
    <w:p w:rsidR="00000000" w:rsidDel="00000000" w:rsidP="00000000" w:rsidRDefault="00000000" w:rsidRPr="00000000" w14:paraId="0000007C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נבדקת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פרמטרים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עיקריים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חופשי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ועכירות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מבוצעות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בתדירות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פלואוריד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נחושת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ברזל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וטריהלומתאנים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7D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העכירות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החופשי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ונותנות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אבחון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בעובדה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הבקטריולוגיה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לדיגום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באיכותם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הבקטריולוגית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הכימיות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לחריגה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לדוגמה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נוכחות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חריגות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בקטריולוגיות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עכירות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בצלילות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המסופקים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7E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ריכוזים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0.1-0.5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לליטר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עכירות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עכירות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נפלומטרית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7F">
      <w:pPr>
        <w:tabs>
          <w:tab w:val="left" w:leader="none" w:pos="5876"/>
        </w:tabs>
        <w:bidi w:val="1"/>
        <w:spacing w:after="120" w:before="120"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12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נדגמות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מייצגות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האספקה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הציבורית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שנדגמות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ונחושת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ברזל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ונחושת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והריח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וריכוזם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1000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לליטר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לליטר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למגוון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המירבי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לליטר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פלואוריד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הפלואוריד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הפלואוריד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פלואוריד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לליטר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12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טריהלומתאנים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חיטוי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תרכובות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אורגניות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היווצרות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למגוון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בריאותיות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המירבי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טריהלומתאנים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מיקרו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לליטר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pStyle w:val="Heading1"/>
        <w:bidi w:val="1"/>
        <w:spacing w:line="360" w:lineRule="auto"/>
        <w:ind w:left="720" w:firstLine="0"/>
        <w:jc w:val="right"/>
        <w:rPr>
          <w:rFonts w:ascii="Arial" w:cs="Arial" w:eastAsia="Arial" w:hAnsi="Arial"/>
          <w:color w:val="000000"/>
        </w:rPr>
      </w:pPr>
      <w:bookmarkStart w:colFirst="0" w:colLast="0" w:name="_heading=h.ihdtbxn4pij1" w:id="11"/>
      <w:bookmarkEnd w:id="11"/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ועדכונים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הגידול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באוכלוסיה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בכניסה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והגדלה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לחצי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0" w:line="360" w:lineRule="auto"/>
        <w:ind w:left="108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1"/>
        <w:bidi w:val="1"/>
        <w:spacing w:line="360" w:lineRule="auto"/>
        <w:ind w:left="720" w:firstLine="0"/>
        <w:rPr>
          <w:rFonts w:ascii="Arial" w:cs="Arial" w:eastAsia="Arial" w:hAnsi="Arial"/>
          <w:color w:val="000000"/>
        </w:rPr>
      </w:pPr>
      <w:bookmarkStart w:colFirst="0" w:colLast="0" w:name="_heading=h.smomjnc87o1u" w:id="12"/>
      <w:bookmarkEnd w:id="12"/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סיכום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בישוב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120" w:line="360" w:lineRule="auto"/>
        <w:ind w:left="1077" w:right="0" w:hanging="357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bookmarkStart w:colFirst="0" w:colLast="0" w:name="_heading=h.wl85p2r0sst5" w:id="13"/>
      <w:bookmarkEnd w:id="13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בקטריולוגיה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בחיבורמקורות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3).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190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בקטריולוגיות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0" w:line="360" w:lineRule="auto"/>
        <w:ind w:left="1077" w:right="0" w:hanging="35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0" w:before="0" w:line="360" w:lineRule="auto"/>
        <w:ind w:left="1077" w:right="0" w:hanging="357"/>
        <w:rPr>
          <w:rFonts w:ascii="Arial" w:cs="Arial" w:eastAsia="Arial" w:hAnsi="Arial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ביוזמתו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החנקות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120" w:before="0" w:line="360" w:lineRule="auto"/>
        <w:ind w:left="1077" w:right="0" w:hanging="357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תקינה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לשתייה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בקטריולוגיה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ביישוב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2024.</w:t>
      </w:r>
    </w:p>
    <w:tbl>
      <w:tblPr>
        <w:tblStyle w:val="Table2"/>
        <w:bidiVisual w:val="1"/>
        <w:tblW w:w="90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2040"/>
        <w:gridCol w:w="1860"/>
        <w:gridCol w:w="1890"/>
        <w:gridCol w:w="1440"/>
        <w:gridCol w:w="1845"/>
        <w:tblGridChange w:id="0">
          <w:tblGrid>
            <w:gridCol w:w="2040"/>
            <w:gridCol w:w="1860"/>
            <w:gridCol w:w="1890"/>
            <w:gridCol w:w="1440"/>
            <w:gridCol w:w="184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F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bookmarkStart w:colFirst="0" w:colLast="0" w:name="_heading=h.1bawuz97lyje" w:id="14"/>
            <w:bookmarkEnd w:id="14"/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הדגימה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90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מיקרוביולוגיה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מתוכננות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שבוצעו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בדיקה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חוזרת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חריגות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אייל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מקורות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מקורות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חדש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אספקה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190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B2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ריכוז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ביישוב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2024.</w:t>
      </w:r>
    </w:p>
    <w:tbl>
      <w:tblPr>
        <w:tblStyle w:val="Table3"/>
        <w:bidiVisual w:val="1"/>
        <w:tblW w:w="9765.0" w:type="dxa"/>
        <w:jc w:val="left"/>
        <w:tblInd w:w="-5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845"/>
        <w:gridCol w:w="1635"/>
        <w:gridCol w:w="1350"/>
        <w:gridCol w:w="1245"/>
        <w:gridCol w:w="1080"/>
        <w:gridCol w:w="1140"/>
        <w:gridCol w:w="1470"/>
        <w:tblGridChange w:id="0">
          <w:tblGrid>
            <w:gridCol w:w="1845"/>
            <w:gridCol w:w="1635"/>
            <w:gridCol w:w="1350"/>
            <w:gridCol w:w="1245"/>
            <w:gridCol w:w="1080"/>
            <w:gridCol w:w="1140"/>
            <w:gridCol w:w="1470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נקודת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הדגימה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פרמטר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נבדק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יחידות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bidi w:val="1"/>
              <w:spacing w:after="60" w:before="60" w:line="360" w:lineRule="auto"/>
              <w:ind w:left="63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טווח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תוצאות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מצב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דגימה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הערה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0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ילדים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כנסת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0.1-0.62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מועצה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נחושת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מיקרוגרם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&gt;MRL</w:t>
            </w:r>
          </w:p>
          <w:p w:rsidR="00000000" w:rsidDel="00000000" w:rsidP="00000000" w:rsidRDefault="00000000" w:rsidRPr="00000000" w14:paraId="000000DD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ברזל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מיקרוגרם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&gt;MRL</w:t>
            </w:r>
          </w:p>
          <w:p w:rsidR="00000000" w:rsidDel="00000000" w:rsidP="00000000" w:rsidRDefault="00000000" w:rsidRPr="00000000" w14:paraId="000000E5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עופרת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מיקרוגרם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&gt;MRL</w:t>
            </w:r>
          </w:p>
          <w:p w:rsidR="00000000" w:rsidDel="00000000" w:rsidP="00000000" w:rsidRDefault="00000000" w:rsidRPr="00000000" w14:paraId="000000ED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טריהלומטנים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מיקרוגרם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0.039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פלואוריד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700-1700*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243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מעון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0.18-0.5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0.05-0.6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נעמת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0.1-0.7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מקורות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ישן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0.2-0.6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דגימה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נמדד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ריכוז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מצפה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ספיר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0.18-0.48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0.05-0.6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נחושת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מיקרוגרם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&lt;1400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&gt;MRL</w:t>
            </w:r>
          </w:p>
          <w:p w:rsidR="00000000" w:rsidDel="00000000" w:rsidP="00000000" w:rsidRDefault="00000000" w:rsidRPr="00000000" w14:paraId="0000013B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ברזל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מיקרוגרם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&gt;MRL</w:t>
            </w:r>
          </w:p>
          <w:p w:rsidR="00000000" w:rsidDel="00000000" w:rsidP="00000000" w:rsidRDefault="00000000" w:rsidRPr="00000000" w14:paraId="00000143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עופרת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מיקרוגרם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bidi w:val="1"/>
              <w:spacing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&gt;MRL</w:t>
            </w:r>
          </w:p>
          <w:p w:rsidR="00000000" w:rsidDel="00000000" w:rsidP="00000000" w:rsidRDefault="00000000" w:rsidRPr="00000000" w14:paraId="0000014B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אייל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0.2-0.9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דגימה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נמדד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ריכוז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0.05-0.5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B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אשכול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0.2-0.49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5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9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ספר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0.2-0.48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F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0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3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4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שורק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B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2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0.05-0.43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מקורות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חדש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חופשי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מיליגרם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0.1-0.4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B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C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E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F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יחידת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עכירות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נפלומטרית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0">
            <w:pPr>
              <w:bidi w:val="1"/>
              <w:spacing w:after="60" w:before="60" w:line="360" w:lineRule="auto"/>
              <w:ind w:left="63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&lt;1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0.05-0.43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3">
            <w:pPr>
              <w:bidi w:val="1"/>
              <w:spacing w:after="60" w:before="60" w:line="360" w:lineRule="auto"/>
              <w:ind w:left="615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76"/>
        </w:tabs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ההפלרה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באוגוסט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2014.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הפלואור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5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mg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\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לליטר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μg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מיקרוגרם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לליטר</w:t>
      </w:r>
    </w:p>
    <w:p w:rsidR="00000000" w:rsidDel="00000000" w:rsidP="00000000" w:rsidRDefault="00000000" w:rsidRPr="00000000" w14:paraId="00000196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NTU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עכירות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נפלומטריות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Nephlometric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Turbidity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Unit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197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firstLine="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חנקות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שנמדדו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בחיבור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אייל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2024</w:t>
      </w:r>
    </w:p>
    <w:tbl>
      <w:tblPr>
        <w:tblStyle w:val="Table4"/>
        <w:bidiVisual w:val="1"/>
        <w:tblW w:w="8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425"/>
        <w:gridCol w:w="1701"/>
        <w:gridCol w:w="1030"/>
        <w:gridCol w:w="813"/>
        <w:gridCol w:w="2267"/>
        <w:gridCol w:w="1276"/>
        <w:tblGridChange w:id="0">
          <w:tblGrid>
            <w:gridCol w:w="1425"/>
            <w:gridCol w:w="1701"/>
            <w:gridCol w:w="1030"/>
            <w:gridCol w:w="813"/>
            <w:gridCol w:w="2267"/>
            <w:gridCol w:w="1276"/>
          </w:tblGrid>
        </w:tblGridChange>
      </w:tblGrid>
      <w:tr>
        <w:trPr>
          <w:cantSplit w:val="0"/>
          <w:trHeight w:val="285" w:hRule="atLeast"/>
          <w:tblHeader w:val="1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99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הדיגום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9A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חנקות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אייל</w:t>
            </w:r>
          </w:p>
        </w:tc>
      </w:tr>
      <w:tr>
        <w:trPr>
          <w:cantSplit w:val="0"/>
          <w:trHeight w:val="285" w:hRule="atLeast"/>
          <w:tblHeader w:val="1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720" w:right="0" w:firstLine="0"/>
              <w:jc w:val="right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0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1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יחידות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2">
            <w:pPr>
              <w:bidi w:val="1"/>
              <w:spacing w:after="60" w:before="60" w:line="360" w:lineRule="auto"/>
              <w:ind w:left="57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שבוצעו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3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טווח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תוצאות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4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חריגות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A5">
            <w:pPr>
              <w:bidi w:val="1"/>
              <w:spacing w:after="60" w:before="60" w:line="360" w:lineRule="auto"/>
              <w:ind w:left="720" w:firstLine="0"/>
              <w:rPr>
                <w:rFonts w:ascii="Arial" w:cs="Arial" w:eastAsia="Arial" w:hAnsi="Arial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32"/>
                <w:szCs w:val="32"/>
                <w:rtl w:val="1"/>
              </w:rPr>
              <w:t xml:space="preserve">אייל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6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70000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7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מיקרוגרם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לליטר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8">
            <w:pPr>
              <w:bidi w:val="1"/>
              <w:spacing w:after="60" w:before="60" w:line="360" w:lineRule="auto"/>
              <w:ind w:left="57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9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36769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A">
            <w:pPr>
              <w:bidi w:val="1"/>
              <w:spacing w:after="60" w:before="60" w:line="360" w:lineRule="auto"/>
              <w:ind w:left="720" w:firstLine="0"/>
              <w:jc w:val="righ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AB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MRL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Minimum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Reporting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Level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מעבדתי</w:t>
      </w:r>
    </w:p>
    <w:p w:rsidR="00000000" w:rsidDel="00000000" w:rsidP="00000000" w:rsidRDefault="00000000" w:rsidRPr="00000000" w14:paraId="000001AC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bidi w:val="1"/>
        <w:spacing w:line="360" w:lineRule="auto"/>
        <w:ind w:left="72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David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  <w:tab w:val="left" w:leader="none" w:pos="2216"/>
      </w:tabs>
      <w:bidi w:val="1"/>
      <w:spacing w:after="0" w:before="0" w:line="360" w:lineRule="auto"/>
      <w:ind w:left="0" w:right="0" w:firstLine="0"/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-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מיסודן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עיריית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–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"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sz w:val="32"/>
        <w:szCs w:val="32"/>
        <w:u w:val="none"/>
        <w:vertAlign w:val="baseline"/>
        <w:rtl w:val="1"/>
      </w:rPr>
      <w:t xml:space="preserve">מ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b0f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0728"/>
    <w:pPr>
      <w:bidi w:val="1"/>
    </w:pPr>
  </w:style>
  <w:style w:type="paragraph" w:styleId="Heading1">
    <w:name w:val="heading 1"/>
    <w:basedOn w:val="Normal"/>
    <w:next w:val="Normal"/>
    <w:link w:val="Heading1Char"/>
    <w:uiPriority w:val="9"/>
    <w:qFormat w:val="1"/>
    <w:rsid w:val="00F149BF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51A3D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593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5934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4F5934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5934"/>
  </w:style>
  <w:style w:type="paragraph" w:styleId="Footer">
    <w:name w:val="footer"/>
    <w:basedOn w:val="Normal"/>
    <w:link w:val="FooterChar"/>
    <w:uiPriority w:val="99"/>
    <w:unhideWhenUsed w:val="1"/>
    <w:rsid w:val="004F5934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5934"/>
  </w:style>
  <w:style w:type="paragraph" w:styleId="ListParagraph">
    <w:name w:val="List Paragraph"/>
    <w:basedOn w:val="Normal"/>
    <w:uiPriority w:val="34"/>
    <w:qFormat w:val="1"/>
    <w:rsid w:val="005D406D"/>
    <w:pPr>
      <w:ind w:left="720"/>
      <w:contextualSpacing w:val="1"/>
    </w:pPr>
  </w:style>
  <w:style w:type="table" w:styleId="LightShading-Accent5">
    <w:name w:val="Light Shading Accent 5"/>
    <w:basedOn w:val="TableNormal"/>
    <w:uiPriority w:val="60"/>
    <w:rsid w:val="009A3714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Grid-Accent5">
    <w:name w:val="Light Grid Accent 5"/>
    <w:basedOn w:val="TableNormal"/>
    <w:uiPriority w:val="62"/>
    <w:rsid w:val="009A371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MediumGrid3-Accent1">
    <w:name w:val="Medium Grid 3 Accent 1"/>
    <w:basedOn w:val="TableNormal"/>
    <w:uiPriority w:val="69"/>
    <w:rsid w:val="009A371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96099B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paragraph" w:styleId="Caption">
    <w:name w:val="caption"/>
    <w:basedOn w:val="Normal"/>
    <w:next w:val="Normal"/>
    <w:uiPriority w:val="35"/>
    <w:unhideWhenUsed w:val="1"/>
    <w:qFormat w:val="1"/>
    <w:rsid w:val="0096099B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8764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764D4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F149BF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51A3D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06015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706015"/>
    <w:pPr>
      <w:spacing w:after="100"/>
      <w:ind w:left="220"/>
    </w:pPr>
  </w:style>
  <w:style w:type="character" w:styleId="PageNumber">
    <w:name w:val="page number"/>
    <w:basedOn w:val="DefaultParagraphFont"/>
    <w:uiPriority w:val="99"/>
    <w:unhideWhenUsed w:val="1"/>
    <w:rsid w:val="000A184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a5d5e2" w:val="clear"/>
      </w:tcPr>
    </w:tblStylePr>
    <w:tblStylePr w:type="band1Vert">
      <w:tcPr>
        <w:shd w:fill="a5d5e2" w:val="clear"/>
      </w:tcPr>
    </w:tblStylePr>
    <w:tblStylePr w:type="band2Horz">
      <w:tcPr/>
    </w:tblStylePr>
    <w:tblStylePr w:type="band2Vert">
      <w:tcPr/>
    </w:tblStylePr>
    <w:tblStylePr w:type="firstCol">
      <w:rPr>
        <w:b w:val="1"/>
        <w:i w:val="0"/>
        <w:color w:val="ffffff"/>
      </w:rPr>
      <w:tcPr>
        <w:shd w:fill="4bacc6" w:val="clear"/>
      </w:tcPr>
    </w:tblStylePr>
    <w:tblStylePr w:type="firstRow">
      <w:rPr>
        <w:b w:val="1"/>
        <w:i w:val="0"/>
        <w:color w:val="ffffff"/>
      </w:rPr>
      <w:tcPr>
        <w:shd w:fill="4bacc6" w:val="clear"/>
      </w:tcPr>
    </w:tblStylePr>
    <w:tblStylePr w:type="lastCol">
      <w:rPr>
        <w:b w:val="1"/>
        <w:i w:val="0"/>
        <w:color w:val="ffffff"/>
      </w:rPr>
      <w:tcPr>
        <w:shd w:fill="4bacc6" w:val="clear"/>
      </w:tcPr>
    </w:tblStylePr>
    <w:tblStylePr w:type="lastRow">
      <w:rPr>
        <w:b w:val="1"/>
        <w:i w:val="0"/>
        <w:color w:val="ffffff"/>
      </w:rPr>
      <w:tcPr>
        <w:shd w:fill="4bacc6" w:val="clear"/>
      </w:tcPr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a5d5e2" w:val="clear"/>
      </w:tcPr>
    </w:tblStylePr>
    <w:tblStylePr w:type="band1Vert">
      <w:tcPr>
        <w:shd w:fill="a5d5e2" w:val="clear"/>
      </w:tcPr>
    </w:tblStylePr>
    <w:tblStylePr w:type="band2Horz">
      <w:tcPr/>
    </w:tblStylePr>
    <w:tblStylePr w:type="band2Vert">
      <w:tcPr/>
    </w:tblStylePr>
    <w:tblStylePr w:type="firstCol">
      <w:rPr>
        <w:b w:val="1"/>
        <w:i w:val="0"/>
        <w:color w:val="ffffff"/>
      </w:rPr>
      <w:tcPr>
        <w:shd w:fill="4bacc6" w:val="clear"/>
      </w:tcPr>
    </w:tblStylePr>
    <w:tblStylePr w:type="firstRow">
      <w:rPr>
        <w:b w:val="1"/>
        <w:i w:val="0"/>
        <w:color w:val="ffffff"/>
      </w:rPr>
      <w:tcPr>
        <w:shd w:fill="4bacc6" w:val="clear"/>
      </w:tcPr>
    </w:tblStylePr>
    <w:tblStylePr w:type="lastCol">
      <w:rPr>
        <w:b w:val="1"/>
        <w:i w:val="0"/>
        <w:color w:val="ffffff"/>
      </w:rPr>
      <w:tcPr>
        <w:shd w:fill="4bacc6" w:val="clear"/>
      </w:tcPr>
    </w:tblStylePr>
    <w:tblStylePr w:type="lastRow">
      <w:rPr>
        <w:b w:val="1"/>
        <w:i w:val="0"/>
        <w:color w:val="ffffff"/>
      </w:rPr>
      <w:tcPr>
        <w:shd w:fill="4bacc6" w:val="clear"/>
      </w:tcPr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a5d5e2" w:val="clear"/>
      </w:tcPr>
    </w:tblStylePr>
    <w:tblStylePr w:type="band1Vert">
      <w:tcPr>
        <w:shd w:fill="a5d5e2" w:val="clear"/>
      </w:tcPr>
    </w:tblStylePr>
    <w:tblStylePr w:type="band2Horz">
      <w:tcPr/>
    </w:tblStylePr>
    <w:tblStylePr w:type="band2Vert">
      <w:tcPr/>
    </w:tblStylePr>
    <w:tblStylePr w:type="firstCol">
      <w:rPr>
        <w:b w:val="1"/>
        <w:i w:val="0"/>
        <w:color w:val="ffffff"/>
      </w:rPr>
      <w:tcPr>
        <w:shd w:fill="4bacc6" w:val="clear"/>
      </w:tcPr>
    </w:tblStylePr>
    <w:tblStylePr w:type="firstRow">
      <w:rPr>
        <w:b w:val="1"/>
        <w:i w:val="0"/>
        <w:color w:val="ffffff"/>
      </w:rPr>
      <w:tcPr>
        <w:shd w:fill="4bacc6" w:val="clear"/>
      </w:tcPr>
    </w:tblStylePr>
    <w:tblStylePr w:type="lastCol">
      <w:rPr>
        <w:b w:val="1"/>
        <w:i w:val="0"/>
        <w:color w:val="ffffff"/>
      </w:rPr>
      <w:tcPr>
        <w:shd w:fill="4bacc6" w:val="clear"/>
      </w:tcPr>
    </w:tblStylePr>
    <w:tblStylePr w:type="lastRow">
      <w:rPr>
        <w:b w:val="1"/>
        <w:i w:val="0"/>
        <w:color w:val="ffffff"/>
      </w:rPr>
      <w:tcPr>
        <w:shd w:fill="4bacc6" w:val="clear"/>
      </w:tcPr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a5d5e2" w:val="clear"/>
      </w:tcPr>
    </w:tblStylePr>
    <w:tblStylePr w:type="band1Vert">
      <w:tcPr>
        <w:shd w:fill="a5d5e2" w:val="clear"/>
      </w:tcPr>
    </w:tblStylePr>
    <w:tblStylePr w:type="band2Horz">
      <w:tcPr/>
    </w:tblStylePr>
    <w:tblStylePr w:type="band2Vert">
      <w:tcPr/>
    </w:tblStylePr>
    <w:tblStylePr w:type="firstCol">
      <w:rPr>
        <w:b w:val="1"/>
        <w:i w:val="0"/>
        <w:color w:val="ffffff"/>
      </w:rPr>
      <w:tcPr>
        <w:shd w:fill="4bacc6" w:val="clear"/>
      </w:tcPr>
    </w:tblStylePr>
    <w:tblStylePr w:type="firstRow">
      <w:rPr>
        <w:b w:val="1"/>
        <w:i w:val="0"/>
        <w:color w:val="ffffff"/>
      </w:rPr>
      <w:tcPr>
        <w:shd w:fill="4bacc6" w:val="clear"/>
      </w:tcPr>
    </w:tblStylePr>
    <w:tblStylePr w:type="lastCol">
      <w:rPr>
        <w:b w:val="1"/>
        <w:i w:val="0"/>
        <w:color w:val="ffffff"/>
      </w:rPr>
      <w:tcPr>
        <w:shd w:fill="4bacc6" w:val="clear"/>
      </w:tcPr>
    </w:tblStylePr>
    <w:tblStylePr w:type="lastRow">
      <w:rPr>
        <w:b w:val="1"/>
        <w:i w:val="0"/>
        <w:color w:val="ffffff"/>
      </w:rPr>
      <w:tcPr>
        <w:shd w:fill="4bacc6" w:val="clear"/>
      </w:tcPr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Q+7LKOTKvI8sw4KHxjlMK3laQ==">CgMxLjAyDmguZm8ydjc3ZnNmZzVsMg5oLndxNDNiYThrcm1wbzIOaC42ZW03Z2tmdjFqZGQyDmguMmYxMnBnNmZkamxsMg5oLnM3NDJpNHIxZ2pvNDIOaC40b3d0enN2YjZ6bDQyDmguaWh1amprZDdqbmRtMg5oLjNveW56ZzJyYTRsbjIOaC44OHM0aWphaGUwMTkyDmguOTRobG05M3FiNTAyMg5oLjM0Mm5iZG5yYjJucjIOaC5paGR0YnhuNHBpajEyDmguc21vbWpuYzg3bzF1Mg5oLndsODVwMnIwc3N0NTIOaC4xYmF3dXo5N2x5amU4AHIhMURfN2JNRE92U2RRTU5GZU42V21FY1pwQW1vWC1vTm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2025-03-09T11:43:00Z</dcterms:created>
  <dc:creator>bdadi_000</dc:creator>
</cp:coreProperties>
</file>