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360" w:lineRule="auto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25-3-2025</w:t>
      </w:r>
    </w:p>
    <w:p w:rsidR="00000000" w:rsidDel="00000000" w:rsidP="00000000" w:rsidRDefault="00000000" w:rsidRPr="00000000" w14:paraId="00000002">
      <w:pPr>
        <w:bidi w:val="1"/>
        <w:spacing w:after="0" w:line="360" w:lineRule="auto"/>
        <w:ind w:right="-709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2</w:t>
      </w:r>
    </w:p>
    <w:p w:rsidR="00000000" w:rsidDel="00000000" w:rsidP="00000000" w:rsidRDefault="00000000" w:rsidRPr="00000000" w14:paraId="00000003">
      <w:pPr>
        <w:bidi w:val="1"/>
        <w:spacing w:after="0" w:line="360" w:lineRule="auto"/>
        <w:ind w:right="-709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פומבי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' 6-2025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אספקת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ותחזוקת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מתקני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אחסון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ומינון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במכון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כפ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</w:t>
      </w:r>
    </w:p>
    <w:p w:rsidR="00000000" w:rsidDel="00000000" w:rsidP="00000000" w:rsidRDefault="00000000" w:rsidRPr="00000000" w14:paraId="00000004">
      <w:pPr>
        <w:bidi w:val="1"/>
        <w:spacing w:after="0" w:line="360" w:lineRule="auto"/>
        <w:ind w:right="-709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120" w:line="360" w:lineRule="auto"/>
        <w:ind w:right="-709"/>
        <w:rPr>
          <w:rFonts w:ascii="Arial" w:cs="Arial" w:eastAsia="Arial" w:hAnsi="Arial"/>
          <w:b w:val="1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שינוי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ודחיית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מועדים</w:t>
      </w:r>
    </w:p>
    <w:p w:rsidR="00000000" w:rsidDel="00000000" w:rsidP="00000000" w:rsidRDefault="00000000" w:rsidRPr="00000000" w14:paraId="00000006">
      <w:pPr>
        <w:bidi w:val="1"/>
        <w:spacing w:after="120" w:line="360" w:lineRule="auto"/>
        <w:ind w:left="-341" w:right="-709" w:firstLine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המים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והביוב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 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מתכבד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לפרסם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המענה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לשאלת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בנוגע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4.2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ודחיית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1"/>
        </w:rPr>
        <w:t xml:space="preserve">מועדים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שבנדון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כדלקמן</w:t>
      </w:r>
      <w:r w:rsidDel="00000000" w:rsidR="00000000" w:rsidRPr="00000000">
        <w:rPr>
          <w:rFonts w:ascii="Arial" w:cs="Arial" w:eastAsia="Arial" w:hAnsi="Arial"/>
          <w:sz w:val="32"/>
          <w:szCs w:val="32"/>
          <w:rtl w:val="1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58" w:right="-709" w:hanging="283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4.2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' –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חוברת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מבוטל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!</w:t>
      </w:r>
    </w:p>
    <w:p w:rsidR="00000000" w:rsidDel="00000000" w:rsidP="00000000" w:rsidRDefault="00000000" w:rsidRPr="00000000" w14:paraId="00000008">
      <w:pPr>
        <w:bidi w:val="1"/>
        <w:spacing w:after="120" w:line="360" w:lineRule="auto"/>
        <w:ind w:right="-709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במקומו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יבוא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792" w:right="-709" w:hanging="432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שסיפק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ברצף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במשך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שנה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השנים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2022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ועד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2024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כולל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לתהליכי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הקולט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עולה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40,000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תושבים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נתוני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הלשכה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המרכזית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לסטטיסטיקה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המעודכנים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סגירת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באתר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תושבים</w:t>
        </w:r>
      </w:hyperlink>
      <w:hyperlink r:id="rId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בישראל</w:t>
        </w:r>
      </w:hyperlink>
      <w:hyperlink r:id="rId1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לפי</w:t>
        </w:r>
      </w:hyperlink>
      <w:hyperlink r:id="rId1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ישובים</w:t>
        </w:r>
      </w:hyperlink>
      <w:hyperlink r:id="rId14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וקבוצות</w:t>
        </w:r>
      </w:hyperlink>
      <w:hyperlink r:id="rId1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1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גיל</w:t>
        </w:r>
      </w:hyperlink>
      <w:hyperlink r:id="rId18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- </w:t>
        </w:r>
      </w:hyperlink>
      <w:hyperlink r:id="rId19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מאגרי</w:t>
        </w:r>
      </w:hyperlink>
      <w:hyperlink r:id="rId20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</w:t>
        </w:r>
      </w:hyperlink>
      <w:hyperlink r:id="rId21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מידע</w:t>
        </w:r>
      </w:hyperlink>
      <w:hyperlink r:id="rId22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1"/>
          </w:rPr>
          <w:t xml:space="preserve"> - </w:t>
        </w:r>
      </w:hyperlink>
      <w:hyperlink r:id="rId23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0"/>
          </w:rPr>
          <w:t xml:space="preserve">Government</w:t>
        </w:r>
      </w:hyperlink>
      <w:hyperlink r:id="rId24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0"/>
          </w:rPr>
          <w:t xml:space="preserve"> </w:t>
        </w:r>
      </w:hyperlink>
      <w:hyperlink r:id="rId25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none"/>
            <w:vertAlign w:val="baseline"/>
            <w:rtl w:val="0"/>
          </w:rPr>
          <w:t xml:space="preserve">Data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) .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1829" w:right="-709" w:hanging="709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מובהר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הניסיון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הנדרש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המשפטי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ההצעה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המעורב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בצורה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1829" w:right="-709" w:hanging="709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המסומנת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1'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הרשויות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קולט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החומרים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שספקו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וכמויותיהם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שמו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מזמין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החמורים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ומנהל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טיהור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השפכים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סופקו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הכימיקלים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וכתובת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יצירת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1829" w:right="-709" w:hanging="709"/>
        <w:rPr>
          <w:rFonts w:ascii="Arial" w:cs="Arial" w:eastAsia="Arial" w:hAnsi="Arial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אישור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לפחות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בנוסח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'2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והמהווה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חלק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בלתי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נפרד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הימנו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מהמכון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עליהם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הצהיר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בנספח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'1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להסכם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D">
      <w:pPr>
        <w:bidi w:val="1"/>
        <w:spacing w:after="120" w:line="360" w:lineRule="auto"/>
        <w:ind w:left="1120" w:right="-709" w:firstLine="0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למען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הסר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אי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המצאת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האסמכתאות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תביא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לפסילת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המשתתף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58" w:right="-709" w:hanging="283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דחיית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108" w:right="-709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לתשומת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המועד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האחרון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יידחה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שניתן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להגיש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27/4/2025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12:00.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935" w:right="-709" w:hanging="57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השינוי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מפורט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בסעיף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בכוונת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לערוך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935" w:right="-709" w:hanging="57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אינם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חייבים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להשתתף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935" w:right="-709" w:hanging="575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מטרת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הנוסף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השתתפו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הראשון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עקב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תנאי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טרם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פרסום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רקע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נשוא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ומענה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עלולות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להתעורר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אצל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ככלי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עזר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935" w:right="-709" w:hanging="575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bookmarkStart w:colFirst="0" w:colLast="0" w:name="_heading=h.lmdy2qutojn5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יתקיים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במשרדי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שברחוב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11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קומה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2)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30/3/2025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14:30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 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מתבקשים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לדייק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ולהופיע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בזמן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935" w:right="-709" w:hanging="575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ההשתתפות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במפגש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284" w:hanging="360"/>
        <w:rPr>
          <w:rFonts w:ascii="David" w:cs="David" w:eastAsia="David" w:hAnsi="David"/>
          <w:b w:val="0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מציעים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יהיו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רשאים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לשלוח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שאלות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הבהרה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בקשה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להסברים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הדרושים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הנחוצים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לשם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10/4/2025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single"/>
          <w:vertAlign w:val="baseline"/>
          <w:rtl w:val="0"/>
        </w:rPr>
        <w:t xml:space="preserve">12.00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למייל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שכתובתו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 </w:t>
      </w:r>
      <w:hyperlink r:id="rId26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-284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58" w:right="-709" w:hanging="283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מקום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תיווצר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סתירה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במסמכי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ונספחיו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תגברנה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58" w:right="0" w:hanging="283"/>
        <w:rPr>
          <w:rFonts w:ascii="Arial" w:cs="Arial" w:eastAsia="Arial" w:hAnsi="Arial"/>
          <w:i w:val="0"/>
          <w:smallCaps w:val="0"/>
          <w:strike w:val="0"/>
          <w:sz w:val="32"/>
          <w:szCs w:val="32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המציע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לצרף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מסמך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להצעתו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כשהוא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חתום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ידו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בחתימה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וחותמת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58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בכבוד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ובברכה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120" w:before="0" w:line="360" w:lineRule="auto"/>
        <w:ind w:left="-58" w:right="0" w:firstLine="0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</w:p>
    <w:sectPr>
      <w:headerReference r:id="rId27" w:type="default"/>
      <w:footerReference r:id="rId28" w:type="default"/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David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D">
    <w:pPr>
      <w:bidi w:val="1"/>
      <w:spacing w:after="120" w:line="240" w:lineRule="auto"/>
      <w:ind w:right="-720"/>
      <w:jc w:val="both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E">
    <w:pPr>
      <w:bidi w:val="1"/>
      <w:spacing w:after="120" w:line="240" w:lineRule="auto"/>
      <w:ind w:right="-720"/>
      <w:jc w:val="both"/>
      <w:rPr/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התע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442511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2034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טלפון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09-7655521 |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פקס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. 09-7655529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תאגיד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מים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וביוב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."/>
      <w:lvlJc w:val="left"/>
      <w:pPr>
        <w:ind w:left="360" w:hanging="360"/>
      </w:pPr>
      <w:rPr>
        <w:b w:val="1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1"/>
      </w:rPr>
    </w:lvl>
    <w:lvl w:ilvl="3">
      <w:start w:val="1"/>
      <w:numFmt w:val="decimal"/>
      <w:lvlText w:val="%1.%2.%3.%4."/>
      <w:lvlJc w:val="left"/>
      <w:pPr>
        <w:ind w:left="1728" w:hanging="647.9999999999998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8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720" w:hanging="36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080" w:hanging="72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ind w:left="2160" w:hanging="180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F6CB3"/>
    <w:pPr>
      <w:bidi w:val="1"/>
    </w:pPr>
  </w:style>
  <w:style w:type="paragraph" w:styleId="3">
    <w:name w:val="heading 3"/>
    <w:basedOn w:val="a"/>
    <w:next w:val="a"/>
    <w:link w:val="30"/>
    <w:uiPriority w:val="9"/>
    <w:semiHidden w:val="1"/>
    <w:unhideWhenUsed w:val="1"/>
    <w:qFormat w:val="1"/>
    <w:rsid w:val="005A4A56"/>
    <w:pPr>
      <w:keepNext w:val="1"/>
      <w:keepLines w:val="1"/>
      <w:spacing w:after="0" w:before="40"/>
      <w:outlineLvl w:val="2"/>
    </w:pPr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header"/>
    <w:basedOn w:val="a"/>
    <w:link w:val="a4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4" w:customStyle="1">
    <w:name w:val="כותרת עליונה תו"/>
    <w:basedOn w:val="a0"/>
    <w:link w:val="a3"/>
    <w:uiPriority w:val="99"/>
    <w:rsid w:val="00F40C88"/>
  </w:style>
  <w:style w:type="paragraph" w:styleId="a5">
    <w:name w:val="footer"/>
    <w:basedOn w:val="a"/>
    <w:link w:val="a6"/>
    <w:uiPriority w:val="99"/>
    <w:unhideWhenUsed w:val="1"/>
    <w:rsid w:val="00F40C88"/>
    <w:pPr>
      <w:tabs>
        <w:tab w:val="center" w:pos="4153"/>
        <w:tab w:val="right" w:pos="8306"/>
      </w:tabs>
      <w:spacing w:after="0" w:line="240" w:lineRule="auto"/>
    </w:pPr>
  </w:style>
  <w:style w:type="character" w:styleId="a6" w:customStyle="1">
    <w:name w:val="כותרת תחתונה תו"/>
    <w:basedOn w:val="a0"/>
    <w:link w:val="a5"/>
    <w:uiPriority w:val="99"/>
    <w:rsid w:val="00F40C88"/>
  </w:style>
  <w:style w:type="paragraph" w:styleId="a7">
    <w:name w:val="List Paragraph"/>
    <w:aliases w:val="מפרט פירוט סעיפים,LP1,פיסקת bullets,lp1,FooterText,numbered,Paragraphe de liste1,פיסקת רשימה1,Bullet List,Bullet Number,Use Case List Paragraph,Num Bullet 1,style 2,נספח 2 מתוקן,רמה 2,x.x.x.x,List Paragraph_0,List Paragraph_1,פיסקת רשימה11"/>
    <w:basedOn w:val="a"/>
    <w:link w:val="a8"/>
    <w:uiPriority w:val="34"/>
    <w:qFormat w:val="1"/>
    <w:rsid w:val="007A1E40"/>
    <w:pPr>
      <w:ind w:left="720"/>
      <w:contextualSpacing w:val="1"/>
    </w:pPr>
  </w:style>
  <w:style w:type="character" w:styleId="im" w:customStyle="1">
    <w:name w:val="im"/>
    <w:basedOn w:val="a0"/>
    <w:rsid w:val="00E46B33"/>
  </w:style>
  <w:style w:type="table" w:styleId="a9">
    <w:name w:val="Table Grid"/>
    <w:basedOn w:val="a1"/>
    <w:rsid w:val="006644B4"/>
    <w:pPr>
      <w:spacing w:after="0" w:line="240" w:lineRule="auto"/>
    </w:p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a">
    <w:name w:val="No Spacing"/>
    <w:uiPriority w:val="1"/>
    <w:qFormat w:val="1"/>
    <w:rsid w:val="005440C5"/>
    <w:pPr>
      <w:bidi w:val="1"/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a8" w:customStyle="1">
    <w:name w:val="פיסקת רשימה תו"/>
    <w:aliases w:val="מפרט פירוט סעיפים תו,LP1 תו,פיסקת bullets תו,lp1 תו,FooterText תו,numbered תו,Paragraphe de liste1 תו,פיסקת רשימה1 תו,Bullet List תו,Bullet Number תו,Use Case List Paragraph תו,Num Bullet 1 תו,style 2 תו,נספח 2 מתוקן תו,רמה 2 תו"/>
    <w:basedOn w:val="a0"/>
    <w:link w:val="a7"/>
    <w:uiPriority w:val="34"/>
    <w:locked w:val="1"/>
    <w:rsid w:val="00AB46AA"/>
  </w:style>
  <w:style w:type="paragraph" w:styleId="ab">
    <w:name w:val="Revision"/>
    <w:hidden w:val="1"/>
    <w:uiPriority w:val="99"/>
    <w:semiHidden w:val="1"/>
    <w:rsid w:val="00953296"/>
    <w:pPr>
      <w:spacing w:after="0" w:line="240" w:lineRule="auto"/>
    </w:pPr>
  </w:style>
  <w:style w:type="character" w:styleId="30" w:customStyle="1">
    <w:name w:val="כותרת 3 תו"/>
    <w:basedOn w:val="a0"/>
    <w:link w:val="3"/>
    <w:uiPriority w:val="9"/>
    <w:semiHidden w:val="1"/>
    <w:rsid w:val="005A4A56"/>
    <w:rPr>
      <w:rFonts w:asciiTheme="majorHAnsi" w:cstheme="majorBidi" w:eastAsiaTheme="majorEastAsia" w:hAnsiTheme="majorHAnsi"/>
      <w:color w:val="1f3763" w:themeColor="accent1" w:themeShade="00007F"/>
      <w:sz w:val="24"/>
      <w:szCs w:val="24"/>
    </w:rPr>
  </w:style>
  <w:style w:type="table" w:styleId="TableGrid" w:customStyle="1">
    <w:name w:val="TableGrid"/>
    <w:rsid w:val="005A4A56"/>
    <w:pPr>
      <w:spacing w:after="0" w:line="240" w:lineRule="auto"/>
    </w:pPr>
    <w:rPr>
      <w:rFonts w:eastAsia="Times New Roman"/>
      <w:kern w:val="2"/>
      <w:sz w:val="24"/>
      <w:szCs w:val="24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yperlink">
    <w:name w:val="Hyperlink"/>
    <w:basedOn w:val="a0"/>
    <w:uiPriority w:val="99"/>
    <w:unhideWhenUsed w:val="1"/>
    <w:rsid w:val="004B7D30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 w:val="1"/>
    <w:unhideWhenUsed w:val="1"/>
    <w:rsid w:val="004B7D3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ata.gov.il/dataset/residents_in_israel_by_communities_and_age_groups" TargetMode="External"/><Relationship Id="rId22" Type="http://schemas.openxmlformats.org/officeDocument/2006/relationships/hyperlink" Target="https://data.gov.il/dataset/residents_in_israel_by_communities_and_age_groups" TargetMode="External"/><Relationship Id="rId21" Type="http://schemas.openxmlformats.org/officeDocument/2006/relationships/hyperlink" Target="https://data.gov.il/dataset/residents_in_israel_by_communities_and_age_groups" TargetMode="External"/><Relationship Id="rId24" Type="http://schemas.openxmlformats.org/officeDocument/2006/relationships/hyperlink" Target="https://data.gov.il/dataset/residents_in_israel_by_communities_and_age_groups" TargetMode="External"/><Relationship Id="rId23" Type="http://schemas.openxmlformats.org/officeDocument/2006/relationships/hyperlink" Target="https://data.gov.il/dataset/residents_in_israel_by_communities_and_age_groups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ata.gov.il/dataset/residents_in_israel_by_communities_and_age_groups" TargetMode="External"/><Relationship Id="rId26" Type="http://schemas.openxmlformats.org/officeDocument/2006/relationships/hyperlink" Target="mailto:tenders@palgey-sharon.co.il" TargetMode="External"/><Relationship Id="rId25" Type="http://schemas.openxmlformats.org/officeDocument/2006/relationships/hyperlink" Target="https://data.gov.il/dataset/residents_in_israel_by_communities_and_age_groups" TargetMode="External"/><Relationship Id="rId28" Type="http://schemas.openxmlformats.org/officeDocument/2006/relationships/footer" Target="footer1.xml"/><Relationship Id="rId27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ata.gov.il/dataset/residents_in_israel_by_communities_and_age_groups" TargetMode="External"/><Relationship Id="rId8" Type="http://schemas.openxmlformats.org/officeDocument/2006/relationships/hyperlink" Target="https://data.gov.il/dataset/residents_in_israel_by_communities_and_age_groups" TargetMode="External"/><Relationship Id="rId11" Type="http://schemas.openxmlformats.org/officeDocument/2006/relationships/hyperlink" Target="https://data.gov.il/dataset/residents_in_israel_by_communities_and_age_groups" TargetMode="External"/><Relationship Id="rId10" Type="http://schemas.openxmlformats.org/officeDocument/2006/relationships/hyperlink" Target="https://data.gov.il/dataset/residents_in_israel_by_communities_and_age_groups" TargetMode="External"/><Relationship Id="rId13" Type="http://schemas.openxmlformats.org/officeDocument/2006/relationships/hyperlink" Target="https://data.gov.il/dataset/residents_in_israel_by_communities_and_age_groups" TargetMode="External"/><Relationship Id="rId12" Type="http://schemas.openxmlformats.org/officeDocument/2006/relationships/hyperlink" Target="https://data.gov.il/dataset/residents_in_israel_by_communities_and_age_groups" TargetMode="External"/><Relationship Id="rId15" Type="http://schemas.openxmlformats.org/officeDocument/2006/relationships/hyperlink" Target="https://data.gov.il/dataset/residents_in_israel_by_communities_and_age_groups" TargetMode="External"/><Relationship Id="rId14" Type="http://schemas.openxmlformats.org/officeDocument/2006/relationships/hyperlink" Target="https://data.gov.il/dataset/residents_in_israel_by_communities_and_age_groups" TargetMode="External"/><Relationship Id="rId17" Type="http://schemas.openxmlformats.org/officeDocument/2006/relationships/hyperlink" Target="https://data.gov.il/dataset/residents_in_israel_by_communities_and_age_groups" TargetMode="External"/><Relationship Id="rId16" Type="http://schemas.openxmlformats.org/officeDocument/2006/relationships/hyperlink" Target="https://data.gov.il/dataset/residents_in_israel_by_communities_and_age_groups" TargetMode="External"/><Relationship Id="rId19" Type="http://schemas.openxmlformats.org/officeDocument/2006/relationships/hyperlink" Target="https://data.gov.il/dataset/residents_in_israel_by_communities_and_age_groups" TargetMode="External"/><Relationship Id="rId18" Type="http://schemas.openxmlformats.org/officeDocument/2006/relationships/hyperlink" Target="https://data.gov.il/dataset/residents_in_israel_by_communities_and_age_groups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xXrTRHNqG+8Y3a8yeo43mzGhfw==">CgMxLjAyDmgubG1keTJxdXRvam41OAByITFlYVptRXJldURtMjNyQUdVS1JELW5GaWI2dF83Rkxtcw==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2025-03-24T08:25:00Z</dcterms:created>
  <dc:creator>rony shani</dc:creator>
</cp:coreProperties>
</file>